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E1D94" w14:textId="77777777" w:rsidR="00A92FAF" w:rsidRPr="00A2711A" w:rsidRDefault="00A92FAF" w:rsidP="00A92FAF">
      <w:pPr>
        <w:pStyle w:val="NormalWeb"/>
        <w:spacing w:before="0" w:beforeAutospacing="0" w:after="0" w:afterAutospacing="0" w:line="480" w:lineRule="auto"/>
        <w:rPr>
          <w:color w:val="0E101A"/>
        </w:rPr>
      </w:pPr>
      <w:r w:rsidRPr="00A2711A">
        <w:rPr>
          <w:color w:val="0E101A"/>
        </w:rPr>
        <w:t xml:space="preserve">Student’s Name </w:t>
      </w:r>
    </w:p>
    <w:p w14:paraId="1F4A1B93" w14:textId="77777777" w:rsidR="00A92FAF" w:rsidRPr="00A2711A" w:rsidRDefault="00A92FAF" w:rsidP="00A92FAF">
      <w:pPr>
        <w:pStyle w:val="NormalWeb"/>
        <w:spacing w:before="0" w:beforeAutospacing="0" w:after="0" w:afterAutospacing="0" w:line="480" w:lineRule="auto"/>
        <w:rPr>
          <w:color w:val="0E101A"/>
        </w:rPr>
      </w:pPr>
      <w:r w:rsidRPr="00A2711A">
        <w:rPr>
          <w:color w:val="0E101A"/>
        </w:rPr>
        <w:t xml:space="preserve">Professor’s Name </w:t>
      </w:r>
    </w:p>
    <w:p w14:paraId="22159845" w14:textId="77777777" w:rsidR="00A92FAF" w:rsidRPr="00A2711A" w:rsidRDefault="00A92FAF" w:rsidP="00A92FAF">
      <w:pPr>
        <w:pStyle w:val="NormalWeb"/>
        <w:spacing w:before="0" w:beforeAutospacing="0" w:after="0" w:afterAutospacing="0" w:line="480" w:lineRule="auto"/>
        <w:rPr>
          <w:color w:val="0E101A"/>
        </w:rPr>
      </w:pPr>
      <w:r w:rsidRPr="00A2711A">
        <w:rPr>
          <w:color w:val="0E101A"/>
        </w:rPr>
        <w:t xml:space="preserve">Course </w:t>
      </w:r>
    </w:p>
    <w:p w14:paraId="6125E2E9" w14:textId="77777777" w:rsidR="00A92FAF" w:rsidRPr="00A2711A" w:rsidRDefault="00A92FAF" w:rsidP="00A92FAF">
      <w:pPr>
        <w:pStyle w:val="NormalWeb"/>
        <w:spacing w:before="0" w:beforeAutospacing="0" w:after="0" w:afterAutospacing="0" w:line="480" w:lineRule="auto"/>
        <w:rPr>
          <w:color w:val="0E101A"/>
        </w:rPr>
      </w:pPr>
      <w:r w:rsidRPr="00A2711A">
        <w:rPr>
          <w:color w:val="0E101A"/>
        </w:rPr>
        <w:t xml:space="preserve">Date </w:t>
      </w:r>
    </w:p>
    <w:p w14:paraId="61AAA817" w14:textId="057EFD5C" w:rsidR="00A92FAF" w:rsidRPr="00A2711A" w:rsidRDefault="00A92FAF" w:rsidP="00A92FAF">
      <w:pPr>
        <w:pStyle w:val="NormalWeb"/>
        <w:spacing w:before="0" w:beforeAutospacing="0" w:after="0" w:afterAutospacing="0" w:line="480" w:lineRule="auto"/>
        <w:jc w:val="center"/>
        <w:rPr>
          <w:color w:val="0E101A"/>
        </w:rPr>
      </w:pPr>
      <w:r w:rsidRPr="00A2711A">
        <w:rPr>
          <w:color w:val="0E101A"/>
        </w:rPr>
        <w:t>Women in the Two Versions of </w:t>
      </w:r>
      <w:r w:rsidRPr="00A2711A">
        <w:rPr>
          <w:rStyle w:val="Emphasis"/>
          <w:color w:val="0E101A"/>
        </w:rPr>
        <w:t>Gilgamesh</w:t>
      </w:r>
    </w:p>
    <w:p w14:paraId="6AFF6F3E" w14:textId="77777777"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Women characters have been developed in the play version of the Gilgamesh narrative. However, simply having female characters in the both play and the epic does not mean that they are presented in a positive light. Women, in the old societies, had mixed responsibilities. Even though they were not actively involved in power, politics, and forms of decision-making that placed them in powerful positions like men, they had important roles that helped them influence events in a powerful way. Based on the two readings, the epic, and the play, the female characters are presented in the same way; harlots, maidens, and mistresses. Women have been depicted in the same way in the two versions of </w:t>
      </w:r>
      <w:r w:rsidRPr="00A2711A">
        <w:rPr>
          <w:rStyle w:val="Emphasis"/>
          <w:color w:val="0E101A"/>
        </w:rPr>
        <w:t>Gilgamesh</w:t>
      </w:r>
      <w:r w:rsidRPr="00A2711A">
        <w:rPr>
          <w:color w:val="0E101A"/>
        </w:rPr>
        <w:t>.</w:t>
      </w:r>
    </w:p>
    <w:p w14:paraId="645B8526" w14:textId="6401E8F6"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Women are depicted as mistresses in the two versions of Gilgamesh. The role of women in both the epic and play of Gilgamesh have been expressed and depicted in the same way. Shamhat, the priestess of Ishtar is a mistress as her role involves seducing men with no personal motivation. Her work in both the play and the epic revolves around pleasuring men through sex and deduction. In most cases in the epic, she is referred to as the “harlot”. As depicted in the epic, Shamhat pleasures men. The author writes that “have her take off her robe and expose her sex; when he sees her, he will draw near to her” (</w:t>
      </w:r>
      <w:r w:rsidR="00A2711A" w:rsidRPr="00A2711A">
        <w:rPr>
          <w:color w:val="0E101A"/>
        </w:rPr>
        <w:t xml:space="preserve">Kovacs </w:t>
      </w:r>
      <w:r w:rsidRPr="00A2711A">
        <w:rPr>
          <w:color w:val="0E101A"/>
        </w:rPr>
        <w:t xml:space="preserve">4). She is used as a tool to set traps for men. In the play, she is depicted in the same way; as sex, a tool only serving to provide pleasure for men. In both the play and the epic, the mistress Shamhat has been euphemistically presented as a mare dancing girl even though she is a priestess of the goddess Ishtar. Basically, she is a sex </w:t>
      </w:r>
      <w:r w:rsidRPr="00A2711A">
        <w:rPr>
          <w:color w:val="0E101A"/>
        </w:rPr>
        <w:lastRenderedPageBreak/>
        <w:t>worker who through the embodiment of the goddess of fertility Ishtar, uses her charms to seduce men like Enkidu. However, in both texts, Shamhat does not do what she does out of her own volition or personal motivation. She does this, pleasuring men with sex because she is commanded by the tyrannical king, Gilgamesh. For example, when Gilgamesh sends a trapper to lure Enkidu into the forest, he instructs him to take along Shamhat, the harlot who will lure Enkidu with her nude and sexy body for the trapper to trap Enkidu. It is clear that Shamhat is doing what she is doing not out of her volition but because she is forced to. She lives in a patriarchal society where men dominated and dictated almost every aspect of a woman’s life.</w:t>
      </w:r>
    </w:p>
    <w:p w14:paraId="260FE4BD" w14:textId="5498164A"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Even though women are in possession of powerful tools at their disposal, they are still treated as mare maidens and subordinates to men. Another woman figure in the two texts is Ishtar, the goddess of fertility and procreation. She has the power to control many things, but her power seems to be limited when it comes to men. In scene 4 of the play, the conversation between Ishtar and Humbaba shows the limits of her powers to get what she wants. Humbaba says “he will seek out Gilgamesh, the one you desire; the name you call in your sleep” (</w:t>
      </w:r>
      <w:r w:rsidR="00A2711A" w:rsidRPr="00A2711A">
        <w:rPr>
          <w:color w:val="222222"/>
          <w:shd w:val="clear" w:color="auto" w:fill="FFFFFF"/>
        </w:rPr>
        <w:t>Komunyakaa</w:t>
      </w:r>
      <w:r w:rsidR="00A2711A" w:rsidRPr="00A2711A">
        <w:rPr>
          <w:color w:val="0E101A"/>
        </w:rPr>
        <w:t xml:space="preserve"> &amp; Chad </w:t>
      </w:r>
      <w:r w:rsidRPr="00A2711A">
        <w:rPr>
          <w:color w:val="0E101A"/>
        </w:rPr>
        <w:t>19). The goddess is powerful enough to bend anyone to her will and do her bidding, but it seems that her charms are beyond controlling Gilgamesh. She can only envy and covet what she cannot get even with her powerful charms.</w:t>
      </w:r>
    </w:p>
    <w:p w14:paraId="4AC6E9A5" w14:textId="77777777"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 xml:space="preserve">Even though the goddess Ishtar is a representation and embodiment of the spiritual life, she is characterized with human feminine qualities. At some point, she lacks the goddess wrath that makes her powerful, she is submissive to men. She is in love with Gilgamesh and from her conversation with Humbaba, she is unable to get him. Like Shamhat, Ishtar is somehow bound by feminine responsibilities and societal expectations. Even in the powerful position and </w:t>
      </w:r>
      <w:r w:rsidRPr="00A2711A">
        <w:rPr>
          <w:color w:val="0E101A"/>
        </w:rPr>
        <w:lastRenderedPageBreak/>
        <w:t>capacity, Ishtar still serves in the pleasure of men. She is the goddess of pleasure and sexuality and her priestess, Shamhat is the embodiment of sexuality in the mortal body.</w:t>
      </w:r>
    </w:p>
    <w:p w14:paraId="4BFE479E" w14:textId="0F1538D6"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However, not all women are depicted with the despicable habits of being used by men to serve their pleasure. Other women, in the two versions of the text, are depicted as caring and loving. They are not emotionless as Shamhat and Ishtar. On such a woman is Ninsun, the mother to Gilgamesh. Ninsun is a caring mother who loves her child despite the tyrannical king he becomes. Even Gilgamesh treats her with the utmost respect. In the epic, Gilgamesh shares all his dreams with his mother because she is understanding. He says, “mother, I had a dream last night……., I tried to lift it but was too mighty for me” (</w:t>
      </w:r>
      <w:r w:rsidR="00A2711A" w:rsidRPr="00A2711A">
        <w:rPr>
          <w:color w:val="0E101A"/>
        </w:rPr>
        <w:t xml:space="preserve">Kovacs </w:t>
      </w:r>
      <w:r w:rsidRPr="00A2711A">
        <w:rPr>
          <w:color w:val="0E101A"/>
        </w:rPr>
        <w:t>5). While the statements of Gilgamesh seem to be ironical because he is a powerful king and half-god, it depicts his trust and dependence on his mother as well as a vulnerability when it comes to her. Later, as Gilgamesh prepares to go with Enkidu to face the Humbaba, Ninsun prepares Enkidu and ensures that he (Enkidu) takes care of Gilgamesh while they are away. In the play, Ninsun is also depicted as a caring and loving mother to Gilgamesh. In the second scene of the play, Ninsun tries to inquire from Gilgamesh about his restlessness while sleeping. Gilgamesh shares with his mother the dream about a star falling from the sky and was unable to grab it (</w:t>
      </w:r>
      <w:r w:rsidR="00A2711A" w:rsidRPr="00A2711A">
        <w:rPr>
          <w:color w:val="222222"/>
          <w:shd w:val="clear" w:color="auto" w:fill="FFFFFF"/>
        </w:rPr>
        <w:t>Komunyakaa</w:t>
      </w:r>
      <w:r w:rsidR="00A2711A" w:rsidRPr="00A2711A">
        <w:rPr>
          <w:color w:val="0E101A"/>
        </w:rPr>
        <w:t xml:space="preserve"> &amp; Chad </w:t>
      </w:r>
      <w:r w:rsidRPr="00A2711A">
        <w:rPr>
          <w:color w:val="0E101A"/>
        </w:rPr>
        <w:t>7). In both texts, Ninsun is presented as a righteous woman who tries to do everything right and stand by his son.</w:t>
      </w:r>
    </w:p>
    <w:p w14:paraId="750E48B8" w14:textId="77777777"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 xml:space="preserve">Even though Ninsun and Ishtar are powerful women, a queen, and a goddess respectively, but unlike Ishtar the destroyer, Ninsun tries to protect her family. Ninsun prays to Shamash to protect his son while they venture into the forest in search of Humbaba. Even though she is aware of her son’s despicable acts against the people of </w:t>
      </w:r>
      <w:proofErr w:type="spellStart"/>
      <w:r w:rsidRPr="00A2711A">
        <w:rPr>
          <w:color w:val="0E101A"/>
        </w:rPr>
        <w:t>Uruk</w:t>
      </w:r>
      <w:proofErr w:type="spellEnd"/>
      <w:r w:rsidRPr="00A2711A">
        <w:rPr>
          <w:color w:val="0E101A"/>
        </w:rPr>
        <w:t xml:space="preserve">, but she supports him. As further depicted in the epic narrative, Tablet II and III, she has a kind heart as she adopts Enkidu, which </w:t>
      </w:r>
      <w:r w:rsidRPr="00A2711A">
        <w:rPr>
          <w:color w:val="0E101A"/>
        </w:rPr>
        <w:lastRenderedPageBreak/>
        <w:t>strengthens the bond between Enkidu and Gilgamesh. The goddess, as depicted in both versions of the text is a destroyer. Ishtar is destructive when filled with anger and rage for those she does not want. For example, as depicted in the epic narrative, Ishtar becomes vicious and jealous of the victory of Gilgamesh against Humbaba. She sets to force him to marry her. She says “come along, Gilgamesh, be you, my husband, to me grant your lusciousness” (18). Even though Gilgamesh is a womanizer, as depicted in both texts, but he rejects the goddess’s offer because of her destructive nature and tendency. From Gilgamesh’s story about the colorful “little Sheperd” whom she loved and later broke his wing and Master Herder whom she struck and turned into a wolf (18). Even though she is presented with feminine qualities, the goddess Ishtar is incapable of loving. She has fallen in love with many men but she ends up destroying them. Unlike Ninsun who is characterized by the love that is nurturing and protective, the two versions of the story present the destructive character of Ishtar.</w:t>
      </w:r>
    </w:p>
    <w:p w14:paraId="4008B042" w14:textId="77777777"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In both versions of the text, some women are not bound by the patriarchal and tyrannical human world. Both Ishtar and Siduri are feminine characters who are bound by no man’s rules or expectations. For example, in both texts, Siduri lives in the wilderness beyond man’s reach. Ishtar, on the other hand, is a goddess who is not bound by the repressive sex-gender systems of society. They are both outcasts from the society dictated by men.</w:t>
      </w:r>
    </w:p>
    <w:p w14:paraId="285E9FBB" w14:textId="77777777"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 xml:space="preserve">In conclusion, the two versions of the story of Gilgamesh depicts the role of woman as subordinate. Even though not all women are depicted as harsh, hateful, and selfish, others like Shamhat and Ishtar are in powerful positions but they are somehow inclined to the patriarchal system of the society where the male dominates and dictates everything. The two versions of the story have presented the role of women, as mentioned and discussed in this essay, in the same </w:t>
      </w:r>
      <w:r w:rsidRPr="00A2711A">
        <w:rPr>
          <w:color w:val="0E101A"/>
        </w:rPr>
        <w:lastRenderedPageBreak/>
        <w:t>way. Women in the epic of Gilgamesh and the play are full of knowledge and power, which makes them important in the development of the male characters.</w:t>
      </w:r>
    </w:p>
    <w:p w14:paraId="30209293" w14:textId="77777777" w:rsidR="00A2711A" w:rsidRDefault="00A2711A" w:rsidP="00A92FAF">
      <w:pPr>
        <w:spacing w:after="0" w:line="480" w:lineRule="auto"/>
        <w:rPr>
          <w:rFonts w:ascii="Times New Roman" w:hAnsi="Times New Roman" w:cs="Times New Roman"/>
          <w:sz w:val="24"/>
          <w:szCs w:val="24"/>
        </w:rPr>
      </w:pPr>
    </w:p>
    <w:p w14:paraId="6864B11B" w14:textId="77777777" w:rsidR="00A2711A" w:rsidRDefault="00A2711A" w:rsidP="00A92FAF">
      <w:pPr>
        <w:spacing w:after="0" w:line="480" w:lineRule="auto"/>
        <w:rPr>
          <w:rFonts w:ascii="Times New Roman" w:hAnsi="Times New Roman" w:cs="Times New Roman"/>
          <w:sz w:val="24"/>
          <w:szCs w:val="24"/>
        </w:rPr>
      </w:pPr>
    </w:p>
    <w:p w14:paraId="5283B3A0" w14:textId="77777777" w:rsidR="00A2711A" w:rsidRDefault="00A2711A" w:rsidP="00A92FAF">
      <w:pPr>
        <w:spacing w:after="0" w:line="480" w:lineRule="auto"/>
        <w:rPr>
          <w:rFonts w:ascii="Times New Roman" w:hAnsi="Times New Roman" w:cs="Times New Roman"/>
          <w:sz w:val="24"/>
          <w:szCs w:val="24"/>
        </w:rPr>
      </w:pPr>
    </w:p>
    <w:p w14:paraId="033067DA" w14:textId="77777777" w:rsidR="00A2711A" w:rsidRDefault="00A2711A" w:rsidP="00A92FAF">
      <w:pPr>
        <w:spacing w:after="0" w:line="480" w:lineRule="auto"/>
        <w:rPr>
          <w:rFonts w:ascii="Times New Roman" w:hAnsi="Times New Roman" w:cs="Times New Roman"/>
          <w:sz w:val="24"/>
          <w:szCs w:val="24"/>
        </w:rPr>
      </w:pPr>
    </w:p>
    <w:p w14:paraId="4B59EBE7" w14:textId="77777777" w:rsidR="00A2711A" w:rsidRDefault="00A2711A" w:rsidP="00A92FAF">
      <w:pPr>
        <w:spacing w:after="0" w:line="480" w:lineRule="auto"/>
        <w:rPr>
          <w:rFonts w:ascii="Times New Roman" w:hAnsi="Times New Roman" w:cs="Times New Roman"/>
          <w:sz w:val="24"/>
          <w:szCs w:val="24"/>
        </w:rPr>
      </w:pPr>
    </w:p>
    <w:p w14:paraId="67392D02" w14:textId="77777777" w:rsidR="00A2711A" w:rsidRDefault="00A2711A" w:rsidP="00A92FAF">
      <w:pPr>
        <w:spacing w:after="0" w:line="480" w:lineRule="auto"/>
        <w:rPr>
          <w:rFonts w:ascii="Times New Roman" w:hAnsi="Times New Roman" w:cs="Times New Roman"/>
          <w:sz w:val="24"/>
          <w:szCs w:val="24"/>
        </w:rPr>
      </w:pPr>
    </w:p>
    <w:p w14:paraId="3D7BAC5B" w14:textId="77777777" w:rsidR="00A2711A" w:rsidRDefault="00A2711A" w:rsidP="00A92FAF">
      <w:pPr>
        <w:spacing w:after="0" w:line="480" w:lineRule="auto"/>
        <w:rPr>
          <w:rFonts w:ascii="Times New Roman" w:hAnsi="Times New Roman" w:cs="Times New Roman"/>
          <w:sz w:val="24"/>
          <w:szCs w:val="24"/>
        </w:rPr>
      </w:pPr>
    </w:p>
    <w:p w14:paraId="4C464A77" w14:textId="77777777" w:rsidR="00A2711A" w:rsidRDefault="00A2711A" w:rsidP="00A92FAF">
      <w:pPr>
        <w:spacing w:after="0" w:line="480" w:lineRule="auto"/>
        <w:rPr>
          <w:rFonts w:ascii="Times New Roman" w:hAnsi="Times New Roman" w:cs="Times New Roman"/>
          <w:sz w:val="24"/>
          <w:szCs w:val="24"/>
        </w:rPr>
      </w:pPr>
    </w:p>
    <w:p w14:paraId="0179EBC9" w14:textId="77777777" w:rsidR="00A2711A" w:rsidRDefault="00A2711A" w:rsidP="00A92FAF">
      <w:pPr>
        <w:spacing w:after="0" w:line="480" w:lineRule="auto"/>
        <w:rPr>
          <w:rFonts w:ascii="Times New Roman" w:hAnsi="Times New Roman" w:cs="Times New Roman"/>
          <w:sz w:val="24"/>
          <w:szCs w:val="24"/>
        </w:rPr>
      </w:pPr>
    </w:p>
    <w:p w14:paraId="52104978" w14:textId="77777777" w:rsidR="00A2711A" w:rsidRDefault="00A2711A" w:rsidP="00A92FAF">
      <w:pPr>
        <w:spacing w:after="0" w:line="480" w:lineRule="auto"/>
        <w:rPr>
          <w:rFonts w:ascii="Times New Roman" w:hAnsi="Times New Roman" w:cs="Times New Roman"/>
          <w:sz w:val="24"/>
          <w:szCs w:val="24"/>
        </w:rPr>
      </w:pPr>
    </w:p>
    <w:p w14:paraId="750D40F3" w14:textId="77777777" w:rsidR="00A2711A" w:rsidRDefault="00A2711A" w:rsidP="00A92FAF">
      <w:pPr>
        <w:spacing w:after="0" w:line="480" w:lineRule="auto"/>
        <w:rPr>
          <w:rFonts w:ascii="Times New Roman" w:hAnsi="Times New Roman" w:cs="Times New Roman"/>
          <w:sz w:val="24"/>
          <w:szCs w:val="24"/>
        </w:rPr>
      </w:pPr>
    </w:p>
    <w:p w14:paraId="404DEFAD" w14:textId="77777777" w:rsidR="00A2711A" w:rsidRDefault="00A2711A" w:rsidP="00A92FAF">
      <w:pPr>
        <w:spacing w:after="0" w:line="480" w:lineRule="auto"/>
        <w:rPr>
          <w:rFonts w:ascii="Times New Roman" w:hAnsi="Times New Roman" w:cs="Times New Roman"/>
          <w:sz w:val="24"/>
          <w:szCs w:val="24"/>
        </w:rPr>
      </w:pPr>
    </w:p>
    <w:p w14:paraId="1192631F" w14:textId="77777777" w:rsidR="00A2711A" w:rsidRDefault="00A2711A" w:rsidP="00A92FAF">
      <w:pPr>
        <w:spacing w:after="0" w:line="480" w:lineRule="auto"/>
        <w:rPr>
          <w:rFonts w:ascii="Times New Roman" w:hAnsi="Times New Roman" w:cs="Times New Roman"/>
          <w:sz w:val="24"/>
          <w:szCs w:val="24"/>
        </w:rPr>
      </w:pPr>
    </w:p>
    <w:p w14:paraId="400E3183" w14:textId="77777777" w:rsidR="00A2711A" w:rsidRDefault="00A2711A" w:rsidP="00A92FAF">
      <w:pPr>
        <w:spacing w:after="0" w:line="480" w:lineRule="auto"/>
        <w:rPr>
          <w:rFonts w:ascii="Times New Roman" w:hAnsi="Times New Roman" w:cs="Times New Roman"/>
          <w:sz w:val="24"/>
          <w:szCs w:val="24"/>
        </w:rPr>
      </w:pPr>
    </w:p>
    <w:p w14:paraId="1D608B6B" w14:textId="77777777" w:rsidR="00A2711A" w:rsidRDefault="00A2711A" w:rsidP="00A92FAF">
      <w:pPr>
        <w:spacing w:after="0" w:line="480" w:lineRule="auto"/>
        <w:rPr>
          <w:rFonts w:ascii="Times New Roman" w:hAnsi="Times New Roman" w:cs="Times New Roman"/>
          <w:sz w:val="24"/>
          <w:szCs w:val="24"/>
        </w:rPr>
      </w:pPr>
    </w:p>
    <w:p w14:paraId="47C435A3" w14:textId="77777777" w:rsidR="00A2711A" w:rsidRDefault="00A2711A" w:rsidP="00A92FAF">
      <w:pPr>
        <w:spacing w:after="0" w:line="480" w:lineRule="auto"/>
        <w:rPr>
          <w:rFonts w:ascii="Times New Roman" w:hAnsi="Times New Roman" w:cs="Times New Roman"/>
          <w:sz w:val="24"/>
          <w:szCs w:val="24"/>
        </w:rPr>
      </w:pPr>
    </w:p>
    <w:p w14:paraId="40E4C0A7" w14:textId="77777777" w:rsidR="00A2711A" w:rsidRDefault="00A2711A" w:rsidP="00A92FAF">
      <w:pPr>
        <w:spacing w:after="0" w:line="480" w:lineRule="auto"/>
        <w:rPr>
          <w:rFonts w:ascii="Times New Roman" w:hAnsi="Times New Roman" w:cs="Times New Roman"/>
          <w:sz w:val="24"/>
          <w:szCs w:val="24"/>
        </w:rPr>
      </w:pPr>
    </w:p>
    <w:p w14:paraId="2C32B043" w14:textId="77777777" w:rsidR="00A2711A" w:rsidRDefault="00A2711A" w:rsidP="00A92FAF">
      <w:pPr>
        <w:spacing w:after="0" w:line="480" w:lineRule="auto"/>
        <w:rPr>
          <w:rFonts w:ascii="Times New Roman" w:hAnsi="Times New Roman" w:cs="Times New Roman"/>
          <w:sz w:val="24"/>
          <w:szCs w:val="24"/>
        </w:rPr>
      </w:pPr>
    </w:p>
    <w:p w14:paraId="46B6C8DE" w14:textId="77777777" w:rsidR="00A2711A" w:rsidRDefault="00A2711A" w:rsidP="00A92FAF">
      <w:pPr>
        <w:spacing w:after="0" w:line="480" w:lineRule="auto"/>
        <w:rPr>
          <w:rFonts w:ascii="Times New Roman" w:hAnsi="Times New Roman" w:cs="Times New Roman"/>
          <w:sz w:val="24"/>
          <w:szCs w:val="24"/>
        </w:rPr>
      </w:pPr>
    </w:p>
    <w:p w14:paraId="029C39CB" w14:textId="77777777" w:rsidR="00A2711A" w:rsidRDefault="00A2711A" w:rsidP="00A92FAF">
      <w:pPr>
        <w:spacing w:after="0" w:line="480" w:lineRule="auto"/>
        <w:rPr>
          <w:rFonts w:ascii="Times New Roman" w:hAnsi="Times New Roman" w:cs="Times New Roman"/>
          <w:sz w:val="24"/>
          <w:szCs w:val="24"/>
        </w:rPr>
      </w:pPr>
    </w:p>
    <w:p w14:paraId="4998E612" w14:textId="77777777" w:rsidR="00A2711A" w:rsidRDefault="00A2711A" w:rsidP="00A92FAF">
      <w:pPr>
        <w:spacing w:after="0" w:line="480" w:lineRule="auto"/>
        <w:rPr>
          <w:rFonts w:ascii="Times New Roman" w:hAnsi="Times New Roman" w:cs="Times New Roman"/>
          <w:sz w:val="24"/>
          <w:szCs w:val="24"/>
        </w:rPr>
      </w:pPr>
    </w:p>
    <w:p w14:paraId="0CF37C56" w14:textId="0101786F" w:rsidR="00A2711A" w:rsidRPr="00A2711A" w:rsidRDefault="00A92FAF" w:rsidP="00A2711A">
      <w:pPr>
        <w:spacing w:after="0" w:line="480" w:lineRule="auto"/>
        <w:jc w:val="center"/>
        <w:rPr>
          <w:rFonts w:ascii="Times New Roman" w:hAnsi="Times New Roman" w:cs="Times New Roman"/>
          <w:sz w:val="24"/>
          <w:szCs w:val="24"/>
        </w:rPr>
      </w:pPr>
      <w:r w:rsidRPr="00A2711A">
        <w:rPr>
          <w:rFonts w:ascii="Times New Roman" w:hAnsi="Times New Roman" w:cs="Times New Roman"/>
          <w:sz w:val="24"/>
          <w:szCs w:val="24"/>
        </w:rPr>
        <w:lastRenderedPageBreak/>
        <w:t>Works Cited</w:t>
      </w:r>
    </w:p>
    <w:p w14:paraId="32415CE0" w14:textId="60A2E5E6" w:rsidR="00A2711A" w:rsidRPr="00A2711A" w:rsidRDefault="00A2711A" w:rsidP="00A2711A">
      <w:pPr>
        <w:spacing w:after="0" w:line="480" w:lineRule="auto"/>
        <w:ind w:left="720" w:hanging="720"/>
        <w:rPr>
          <w:rFonts w:ascii="Times New Roman" w:hAnsi="Times New Roman" w:cs="Times New Roman"/>
          <w:sz w:val="24"/>
          <w:szCs w:val="24"/>
        </w:rPr>
      </w:pPr>
      <w:r w:rsidRPr="00A2711A">
        <w:rPr>
          <w:rFonts w:ascii="Times New Roman" w:hAnsi="Times New Roman" w:cs="Times New Roman"/>
          <w:color w:val="222222"/>
          <w:sz w:val="24"/>
          <w:szCs w:val="24"/>
          <w:shd w:val="clear" w:color="auto" w:fill="FFFFFF"/>
        </w:rPr>
        <w:t>Kovacs, Maureen Gallery. </w:t>
      </w:r>
      <w:r w:rsidRPr="00A2711A">
        <w:rPr>
          <w:rFonts w:ascii="Times New Roman" w:hAnsi="Times New Roman" w:cs="Times New Roman"/>
          <w:i/>
          <w:iCs/>
          <w:color w:val="222222"/>
          <w:sz w:val="24"/>
          <w:szCs w:val="24"/>
          <w:shd w:val="clear" w:color="auto" w:fill="FFFFFF"/>
        </w:rPr>
        <w:t xml:space="preserve">The </w:t>
      </w:r>
      <w:r w:rsidRPr="00A2711A">
        <w:rPr>
          <w:rFonts w:ascii="Times New Roman" w:hAnsi="Times New Roman" w:cs="Times New Roman"/>
          <w:i/>
          <w:iCs/>
          <w:color w:val="222222"/>
          <w:sz w:val="24"/>
          <w:szCs w:val="24"/>
          <w:shd w:val="clear" w:color="auto" w:fill="FFFFFF"/>
        </w:rPr>
        <w:t>E</w:t>
      </w:r>
      <w:r w:rsidRPr="00A2711A">
        <w:rPr>
          <w:rFonts w:ascii="Times New Roman" w:hAnsi="Times New Roman" w:cs="Times New Roman"/>
          <w:i/>
          <w:iCs/>
          <w:color w:val="222222"/>
          <w:sz w:val="24"/>
          <w:szCs w:val="24"/>
          <w:shd w:val="clear" w:color="auto" w:fill="FFFFFF"/>
        </w:rPr>
        <w:t>pic of Gilgamesh</w:t>
      </w:r>
      <w:r w:rsidRPr="00A2711A">
        <w:rPr>
          <w:rFonts w:ascii="Times New Roman" w:hAnsi="Times New Roman" w:cs="Times New Roman"/>
          <w:color w:val="222222"/>
          <w:sz w:val="24"/>
          <w:szCs w:val="24"/>
          <w:shd w:val="clear" w:color="auto" w:fill="FFFFFF"/>
        </w:rPr>
        <w:t>.</w:t>
      </w:r>
      <w:r w:rsidRPr="00A2711A">
        <w:rPr>
          <w:rFonts w:ascii="Times New Roman" w:hAnsi="Times New Roman" w:cs="Times New Roman"/>
          <w:color w:val="222222"/>
          <w:sz w:val="24"/>
          <w:szCs w:val="24"/>
          <w:shd w:val="clear" w:color="auto" w:fill="FFFFFF"/>
        </w:rPr>
        <w:t xml:space="preserve"> Wolf Carnahan (Eds).</w:t>
      </w:r>
      <w:r w:rsidRPr="00A2711A">
        <w:rPr>
          <w:rFonts w:ascii="Times New Roman" w:hAnsi="Times New Roman" w:cs="Times New Roman"/>
          <w:color w:val="222222"/>
          <w:sz w:val="24"/>
          <w:szCs w:val="24"/>
          <w:shd w:val="clear" w:color="auto" w:fill="FFFFFF"/>
        </w:rPr>
        <w:t xml:space="preserve"> Stanford University Press, 1</w:t>
      </w:r>
      <w:r w:rsidRPr="00A2711A">
        <w:rPr>
          <w:rFonts w:ascii="Times New Roman" w:hAnsi="Times New Roman" w:cs="Times New Roman"/>
          <w:color w:val="222222"/>
          <w:sz w:val="24"/>
          <w:szCs w:val="24"/>
          <w:shd w:val="clear" w:color="auto" w:fill="FFFFFF"/>
        </w:rPr>
        <w:t xml:space="preserve">998. </w:t>
      </w:r>
    </w:p>
    <w:p w14:paraId="2E239041" w14:textId="2D29DBC7" w:rsidR="00A92FAF" w:rsidRPr="00A2711A" w:rsidRDefault="00A2711A" w:rsidP="00A2711A">
      <w:pPr>
        <w:spacing w:after="0" w:line="480" w:lineRule="auto"/>
        <w:ind w:left="720" w:hanging="720"/>
        <w:rPr>
          <w:rFonts w:ascii="Times New Roman" w:hAnsi="Times New Roman" w:cs="Times New Roman"/>
          <w:sz w:val="24"/>
          <w:szCs w:val="24"/>
        </w:rPr>
      </w:pPr>
      <w:r w:rsidRPr="00A2711A">
        <w:rPr>
          <w:rFonts w:ascii="Times New Roman" w:hAnsi="Times New Roman" w:cs="Times New Roman"/>
          <w:color w:val="222222"/>
          <w:sz w:val="24"/>
          <w:szCs w:val="24"/>
          <w:shd w:val="clear" w:color="auto" w:fill="FFFFFF"/>
        </w:rPr>
        <w:t xml:space="preserve">Komunyakaa, Yusef, and Chad </w:t>
      </w:r>
      <w:proofErr w:type="spellStart"/>
      <w:r w:rsidRPr="00A2711A">
        <w:rPr>
          <w:rFonts w:ascii="Times New Roman" w:hAnsi="Times New Roman" w:cs="Times New Roman"/>
          <w:color w:val="222222"/>
          <w:sz w:val="24"/>
          <w:szCs w:val="24"/>
          <w:shd w:val="clear" w:color="auto" w:fill="FFFFFF"/>
        </w:rPr>
        <w:t>Gracia</w:t>
      </w:r>
      <w:proofErr w:type="spellEnd"/>
      <w:r w:rsidRPr="00A2711A">
        <w:rPr>
          <w:rFonts w:ascii="Times New Roman" w:hAnsi="Times New Roman" w:cs="Times New Roman"/>
          <w:color w:val="222222"/>
          <w:sz w:val="24"/>
          <w:szCs w:val="24"/>
          <w:shd w:val="clear" w:color="auto" w:fill="FFFFFF"/>
        </w:rPr>
        <w:t>. </w:t>
      </w:r>
      <w:r w:rsidRPr="00A2711A">
        <w:rPr>
          <w:rFonts w:ascii="Times New Roman" w:hAnsi="Times New Roman" w:cs="Times New Roman"/>
          <w:i/>
          <w:iCs/>
          <w:color w:val="222222"/>
          <w:sz w:val="24"/>
          <w:szCs w:val="24"/>
          <w:shd w:val="clear" w:color="auto" w:fill="FFFFFF"/>
        </w:rPr>
        <w:t>Gilgamesh: A Verse Play</w:t>
      </w:r>
      <w:r w:rsidRPr="00A2711A">
        <w:rPr>
          <w:rFonts w:ascii="Times New Roman" w:hAnsi="Times New Roman" w:cs="Times New Roman"/>
          <w:color w:val="222222"/>
          <w:sz w:val="24"/>
          <w:szCs w:val="24"/>
          <w:shd w:val="clear" w:color="auto" w:fill="FFFFFF"/>
        </w:rPr>
        <w:t>. Wesleyan University Press, 2006.</w:t>
      </w:r>
    </w:p>
    <w:sectPr w:rsidR="00A92FAF" w:rsidRPr="00A271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7A142" w14:textId="77777777" w:rsidR="00A94B66" w:rsidRDefault="00A94B66" w:rsidP="00A92FAF">
      <w:pPr>
        <w:spacing w:after="0" w:line="240" w:lineRule="auto"/>
      </w:pPr>
      <w:r>
        <w:separator/>
      </w:r>
    </w:p>
  </w:endnote>
  <w:endnote w:type="continuationSeparator" w:id="0">
    <w:p w14:paraId="4C6A6216" w14:textId="77777777" w:rsidR="00A94B66" w:rsidRDefault="00A94B66" w:rsidP="00A92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E02FF" w14:textId="77777777" w:rsidR="00A94B66" w:rsidRDefault="00A94B66" w:rsidP="00A92FAF">
      <w:pPr>
        <w:spacing w:after="0" w:line="240" w:lineRule="auto"/>
      </w:pPr>
      <w:r>
        <w:separator/>
      </w:r>
    </w:p>
  </w:footnote>
  <w:footnote w:type="continuationSeparator" w:id="0">
    <w:p w14:paraId="22EFFC91" w14:textId="77777777" w:rsidR="00A94B66" w:rsidRDefault="00A94B66" w:rsidP="00A92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93124" w14:textId="76560CD7" w:rsidR="00A92FAF" w:rsidRPr="00A92FAF" w:rsidRDefault="00A92FAF" w:rsidP="00A92FAF">
    <w:pPr>
      <w:pStyle w:val="Header"/>
      <w:jc w:val="right"/>
      <w:rPr>
        <w:rFonts w:ascii="Times New Roman" w:hAnsi="Times New Roman" w:cs="Times New Roman"/>
        <w:sz w:val="24"/>
        <w:szCs w:val="24"/>
      </w:rPr>
    </w:pPr>
    <w:r w:rsidRPr="00A92FAF">
      <w:rPr>
        <w:rFonts w:ascii="Times New Roman" w:hAnsi="Times New Roman" w:cs="Times New Roman"/>
        <w:sz w:val="24"/>
        <w:szCs w:val="24"/>
      </w:rPr>
      <w:t xml:space="preserve">Last Name </w:t>
    </w:r>
    <w:r w:rsidRPr="00A92FAF">
      <w:rPr>
        <w:rFonts w:ascii="Times New Roman" w:hAnsi="Times New Roman" w:cs="Times New Roman"/>
        <w:sz w:val="24"/>
        <w:szCs w:val="24"/>
      </w:rPr>
      <w:fldChar w:fldCharType="begin"/>
    </w:r>
    <w:r w:rsidRPr="00A92FAF">
      <w:rPr>
        <w:rFonts w:ascii="Times New Roman" w:hAnsi="Times New Roman" w:cs="Times New Roman"/>
        <w:sz w:val="24"/>
        <w:szCs w:val="24"/>
      </w:rPr>
      <w:instrText xml:space="preserve"> PAGE   \* MERGEFORMAT </w:instrText>
    </w:r>
    <w:r w:rsidRPr="00A92FAF">
      <w:rPr>
        <w:rFonts w:ascii="Times New Roman" w:hAnsi="Times New Roman" w:cs="Times New Roman"/>
        <w:sz w:val="24"/>
        <w:szCs w:val="24"/>
      </w:rPr>
      <w:fldChar w:fldCharType="separate"/>
    </w:r>
    <w:r w:rsidRPr="00A92FAF">
      <w:rPr>
        <w:rFonts w:ascii="Times New Roman" w:hAnsi="Times New Roman" w:cs="Times New Roman"/>
        <w:noProof/>
        <w:sz w:val="24"/>
        <w:szCs w:val="24"/>
      </w:rPr>
      <w:t>1</w:t>
    </w:r>
    <w:r w:rsidRPr="00A92FA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31A"/>
    <w:rsid w:val="001544CE"/>
    <w:rsid w:val="001D631A"/>
    <w:rsid w:val="00262A9A"/>
    <w:rsid w:val="002925C9"/>
    <w:rsid w:val="00302061"/>
    <w:rsid w:val="0034415F"/>
    <w:rsid w:val="003B51FA"/>
    <w:rsid w:val="004306EE"/>
    <w:rsid w:val="004807DF"/>
    <w:rsid w:val="004A31F7"/>
    <w:rsid w:val="0058350A"/>
    <w:rsid w:val="007D00AB"/>
    <w:rsid w:val="007E20D9"/>
    <w:rsid w:val="00801C63"/>
    <w:rsid w:val="00952653"/>
    <w:rsid w:val="00986FD3"/>
    <w:rsid w:val="00A2711A"/>
    <w:rsid w:val="00A71D00"/>
    <w:rsid w:val="00A92FAF"/>
    <w:rsid w:val="00A94B66"/>
    <w:rsid w:val="00C81094"/>
    <w:rsid w:val="00D45B3F"/>
    <w:rsid w:val="00E22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C17CC"/>
  <w15:chartTrackingRefBased/>
  <w15:docId w15:val="{74D236A8-18DD-4786-AB19-F6E3DC8C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2FA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92FAF"/>
    <w:rPr>
      <w:i/>
      <w:iCs/>
    </w:rPr>
  </w:style>
  <w:style w:type="paragraph" w:styleId="Header">
    <w:name w:val="header"/>
    <w:basedOn w:val="Normal"/>
    <w:link w:val="HeaderChar"/>
    <w:uiPriority w:val="99"/>
    <w:unhideWhenUsed/>
    <w:rsid w:val="00A92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FAF"/>
  </w:style>
  <w:style w:type="paragraph" w:styleId="Footer">
    <w:name w:val="footer"/>
    <w:basedOn w:val="Normal"/>
    <w:link w:val="FooterChar"/>
    <w:uiPriority w:val="99"/>
    <w:unhideWhenUsed/>
    <w:rsid w:val="00A92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34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6</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steve</cp:lastModifiedBy>
  <cp:revision>1</cp:revision>
  <dcterms:created xsi:type="dcterms:W3CDTF">2021-09-23T07:05:00Z</dcterms:created>
  <dcterms:modified xsi:type="dcterms:W3CDTF">2021-09-23T09:58:00Z</dcterms:modified>
</cp:coreProperties>
</file>